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1AD8" w14:textId="6BA0834D" w:rsidR="004E1AED" w:rsidRPr="002C1FA4" w:rsidRDefault="007D793F" w:rsidP="004E1AED">
      <w:pPr>
        <w:pStyle w:val="Title"/>
        <w:rPr>
          <w:color w:val="C04908" w:themeColor="accent6" w:themeShade="BF"/>
          <w:sz w:val="48"/>
        </w:rPr>
      </w:pPr>
      <w:r w:rsidRPr="002C1FA4">
        <w:rPr>
          <w:color w:val="C04908" w:themeColor="accent6" w:themeShade="BF"/>
          <w:sz w:val="48"/>
        </w:rPr>
        <w:t xml:space="preserve">Accounting </w:t>
      </w:r>
      <w:r w:rsidR="00685E14" w:rsidRPr="002C1FA4">
        <w:rPr>
          <w:color w:val="C04908" w:themeColor="accent6" w:themeShade="BF"/>
          <w:sz w:val="48"/>
        </w:rPr>
        <w:t>INTERNSHIP</w:t>
      </w:r>
      <w:r w:rsidR="002C1FA4" w:rsidRPr="002C1FA4">
        <w:rPr>
          <w:color w:val="C04908" w:themeColor="accent6" w:themeShade="BF"/>
          <w:sz w:val="48"/>
        </w:rPr>
        <w:t xml:space="preserve"> – FALL 20</w:t>
      </w:r>
      <w:r w:rsidR="00073CA2">
        <w:rPr>
          <w:color w:val="C04908" w:themeColor="accent6" w:themeShade="BF"/>
          <w:sz w:val="48"/>
        </w:rPr>
        <w:t>24</w:t>
      </w:r>
    </w:p>
    <w:p w14:paraId="07257DF4" w14:textId="77777777" w:rsidR="0045678E" w:rsidRPr="002C1FA4" w:rsidRDefault="0045678E" w:rsidP="000A5B70">
      <w:pPr>
        <w:pStyle w:val="Heading1"/>
        <w:pBdr>
          <w:top w:val="single" w:sz="24" w:space="0" w:color="F9A273" w:themeColor="accent6" w:themeTint="99"/>
          <w:left w:val="single" w:sz="24" w:space="0" w:color="F9A273" w:themeColor="accent6" w:themeTint="99"/>
          <w:bottom w:val="single" w:sz="24" w:space="0" w:color="F9A273" w:themeColor="accent6" w:themeTint="99"/>
          <w:right w:val="single" w:sz="24" w:space="0" w:color="F9A273" w:themeColor="accent6" w:themeTint="99"/>
        </w:pBdr>
        <w:shd w:val="clear" w:color="auto" w:fill="F9A273" w:themeFill="accent6" w:themeFillTint="99"/>
        <w:rPr>
          <w:color w:val="FBC1A2" w:themeColor="accent6" w:themeTint="66"/>
          <w:sz w:val="20"/>
        </w:rPr>
      </w:pPr>
      <w:r w:rsidRPr="002C1FA4">
        <w:rPr>
          <w:sz w:val="20"/>
        </w:rPr>
        <w:t>The internship EXPERIENCE</w:t>
      </w:r>
    </w:p>
    <w:p w14:paraId="445DB6EF" w14:textId="77777777" w:rsidR="0045678E" w:rsidRPr="002C1FA4" w:rsidRDefault="0045678E" w:rsidP="0045678E">
      <w:p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The Accounting Internship p</w:t>
      </w:r>
      <w:r w:rsidR="0093459B" w:rsidRPr="002C1FA4">
        <w:rPr>
          <w:rFonts w:asciiTheme="majorHAnsi" w:hAnsiTheme="majorHAnsi"/>
          <w:sz w:val="20"/>
        </w:rPr>
        <w:t>rogram is designed to</w:t>
      </w:r>
      <w:r w:rsidR="001E0BCE" w:rsidRPr="002C1FA4">
        <w:rPr>
          <w:rFonts w:asciiTheme="majorHAnsi" w:hAnsiTheme="majorHAnsi"/>
          <w:sz w:val="20"/>
        </w:rPr>
        <w:t xml:space="preserve"> enhance the learning experience and</w:t>
      </w:r>
      <w:r w:rsidR="0093459B" w:rsidRPr="002C1FA4">
        <w:rPr>
          <w:rFonts w:asciiTheme="majorHAnsi" w:hAnsiTheme="majorHAnsi"/>
          <w:sz w:val="20"/>
        </w:rPr>
        <w:t xml:space="preserve"> provide a</w:t>
      </w:r>
      <w:r w:rsidRPr="002C1FA4">
        <w:rPr>
          <w:rFonts w:asciiTheme="majorHAnsi" w:hAnsiTheme="majorHAnsi"/>
          <w:sz w:val="20"/>
        </w:rPr>
        <w:t xml:space="preserve">ccounting students </w:t>
      </w:r>
      <w:r w:rsidR="00EF6B7D" w:rsidRPr="002C1FA4">
        <w:rPr>
          <w:rFonts w:asciiTheme="majorHAnsi" w:hAnsiTheme="majorHAnsi"/>
          <w:sz w:val="20"/>
        </w:rPr>
        <w:t xml:space="preserve">obtaining their </w:t>
      </w:r>
      <w:proofErr w:type="spellStart"/>
      <w:r w:rsidR="00EF6B7D" w:rsidRPr="002C1FA4">
        <w:rPr>
          <w:rFonts w:asciiTheme="majorHAnsi" w:hAnsiTheme="majorHAnsi"/>
          <w:sz w:val="20"/>
        </w:rPr>
        <w:t>Bachelors</w:t>
      </w:r>
      <w:proofErr w:type="spellEnd"/>
      <w:r w:rsidR="00EF6B7D" w:rsidRPr="002C1FA4">
        <w:rPr>
          <w:rFonts w:asciiTheme="majorHAnsi" w:hAnsiTheme="majorHAnsi"/>
          <w:sz w:val="20"/>
        </w:rPr>
        <w:t xml:space="preserve"> degree </w:t>
      </w:r>
      <w:r w:rsidRPr="002C1FA4">
        <w:rPr>
          <w:rFonts w:asciiTheme="majorHAnsi" w:hAnsiTheme="majorHAnsi"/>
          <w:sz w:val="20"/>
        </w:rPr>
        <w:t>exposure to the various roles and responsibilities commonly available and in demand within a corporate career path in the real estate industry</w:t>
      </w:r>
      <w:r w:rsidR="007B76A9">
        <w:rPr>
          <w:rFonts w:asciiTheme="majorHAnsi" w:hAnsiTheme="majorHAnsi"/>
          <w:sz w:val="20"/>
        </w:rPr>
        <w:t>.</w:t>
      </w:r>
      <w:r w:rsidRPr="002C1FA4">
        <w:rPr>
          <w:rFonts w:asciiTheme="majorHAnsi" w:hAnsiTheme="majorHAnsi"/>
          <w:sz w:val="20"/>
        </w:rPr>
        <w:t xml:space="preserve">  </w:t>
      </w:r>
    </w:p>
    <w:p w14:paraId="5A3FC421" w14:textId="6A3DA149" w:rsidR="0045678E" w:rsidRPr="002C1FA4" w:rsidRDefault="0093459B" w:rsidP="0045678E">
      <w:p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Regency Centers aims to provide </w:t>
      </w:r>
      <w:r w:rsidR="00306B5F">
        <w:rPr>
          <w:rFonts w:asciiTheme="majorHAnsi" w:hAnsiTheme="majorHAnsi"/>
          <w:sz w:val="20"/>
        </w:rPr>
        <w:t xml:space="preserve">up to </w:t>
      </w:r>
      <w:r w:rsidR="00073CA2">
        <w:rPr>
          <w:rFonts w:asciiTheme="majorHAnsi" w:hAnsiTheme="majorHAnsi"/>
          <w:sz w:val="20"/>
        </w:rPr>
        <w:t>six</w:t>
      </w:r>
      <w:r w:rsidR="00306B5F">
        <w:rPr>
          <w:rFonts w:asciiTheme="majorHAnsi" w:hAnsiTheme="majorHAnsi"/>
          <w:sz w:val="20"/>
        </w:rPr>
        <w:t xml:space="preserve"> (</w:t>
      </w:r>
      <w:r w:rsidR="00073CA2">
        <w:rPr>
          <w:rFonts w:asciiTheme="majorHAnsi" w:hAnsiTheme="majorHAnsi"/>
          <w:sz w:val="20"/>
        </w:rPr>
        <w:t>6</w:t>
      </w:r>
      <w:r w:rsidR="00306B5F">
        <w:rPr>
          <w:rFonts w:asciiTheme="majorHAnsi" w:hAnsiTheme="majorHAnsi"/>
          <w:sz w:val="20"/>
        </w:rPr>
        <w:t xml:space="preserve">) </w:t>
      </w:r>
      <w:r w:rsidRPr="002C1FA4">
        <w:rPr>
          <w:rFonts w:asciiTheme="majorHAnsi" w:hAnsiTheme="majorHAnsi"/>
          <w:sz w:val="20"/>
        </w:rPr>
        <w:t>accounting students with a well-rounded experience to help students apply what they have learned in school, understand the different roles in accounting, receive timely feedback about their work, and develop a professional network</w:t>
      </w:r>
      <w:r w:rsidR="007F35CD" w:rsidRPr="002C1FA4">
        <w:rPr>
          <w:rFonts w:asciiTheme="majorHAnsi" w:hAnsiTheme="majorHAnsi"/>
          <w:sz w:val="20"/>
        </w:rPr>
        <w:t xml:space="preserve"> in the Jacksonville</w:t>
      </w:r>
      <w:r w:rsidR="00E7168D" w:rsidRPr="002C1FA4">
        <w:rPr>
          <w:rFonts w:asciiTheme="majorHAnsi" w:hAnsiTheme="majorHAnsi"/>
          <w:sz w:val="20"/>
        </w:rPr>
        <w:t>, FL</w:t>
      </w:r>
      <w:r w:rsidR="007F35CD" w:rsidRPr="002C1FA4">
        <w:rPr>
          <w:rFonts w:asciiTheme="majorHAnsi" w:hAnsiTheme="majorHAnsi"/>
          <w:sz w:val="20"/>
        </w:rPr>
        <w:t xml:space="preserve"> </w:t>
      </w:r>
      <w:r w:rsidR="00211F68" w:rsidRPr="002C1FA4">
        <w:rPr>
          <w:rFonts w:asciiTheme="majorHAnsi" w:hAnsiTheme="majorHAnsi"/>
          <w:sz w:val="20"/>
        </w:rPr>
        <w:t>area</w:t>
      </w:r>
      <w:r w:rsidRPr="002C1FA4">
        <w:rPr>
          <w:rFonts w:asciiTheme="majorHAnsi" w:hAnsiTheme="majorHAnsi"/>
          <w:sz w:val="20"/>
        </w:rPr>
        <w:t xml:space="preserve">.  </w:t>
      </w:r>
      <w:r w:rsidR="008C5CC0">
        <w:rPr>
          <w:rFonts w:asciiTheme="majorHAnsi" w:hAnsiTheme="majorHAnsi"/>
          <w:sz w:val="20"/>
        </w:rPr>
        <w:t xml:space="preserve">Learn about Regency Centers, our history, who we are, what we do, what we value, and how we own and invest in our shopping centers.  </w:t>
      </w:r>
    </w:p>
    <w:p w14:paraId="5B540B4A" w14:textId="77777777" w:rsidR="00D222DC" w:rsidRPr="002C1FA4" w:rsidRDefault="00D222DC" w:rsidP="00D222DC">
      <w:pPr>
        <w:pStyle w:val="Heading1"/>
        <w:pBdr>
          <w:top w:val="single" w:sz="24" w:space="0" w:color="F9A273" w:themeColor="accent6" w:themeTint="99"/>
          <w:left w:val="single" w:sz="24" w:space="0" w:color="F9A273" w:themeColor="accent6" w:themeTint="99"/>
          <w:bottom w:val="single" w:sz="24" w:space="0" w:color="F9A273" w:themeColor="accent6" w:themeTint="99"/>
          <w:right w:val="single" w:sz="24" w:space="0" w:color="F9A273" w:themeColor="accent6" w:themeTint="99"/>
        </w:pBdr>
        <w:shd w:val="clear" w:color="auto" w:fill="F9A273" w:themeFill="accent6" w:themeFillTint="99"/>
        <w:rPr>
          <w:color w:val="FBC1A2" w:themeColor="accent6" w:themeTint="66"/>
          <w:sz w:val="20"/>
        </w:rPr>
      </w:pPr>
      <w:r w:rsidRPr="002C1FA4">
        <w:rPr>
          <w:sz w:val="20"/>
        </w:rPr>
        <w:t>Areas of responsibilit</w:t>
      </w:r>
      <w:r w:rsidR="00C123A3" w:rsidRPr="002C1FA4">
        <w:rPr>
          <w:sz w:val="20"/>
        </w:rPr>
        <w:t>y</w:t>
      </w:r>
    </w:p>
    <w:p w14:paraId="424205E7" w14:textId="77777777" w:rsidR="00D222DC" w:rsidRPr="002C1FA4" w:rsidRDefault="00D222DC" w:rsidP="00D222DC">
      <w:p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Students can expect to be exposed to a variety of real-life accounting matters that directly relate to the lessons learned through their college studies.  Examples of </w:t>
      </w:r>
      <w:r w:rsidR="0093459B" w:rsidRPr="002C1FA4">
        <w:rPr>
          <w:rFonts w:asciiTheme="majorHAnsi" w:hAnsiTheme="majorHAnsi"/>
          <w:sz w:val="20"/>
        </w:rPr>
        <w:t>the types of work the students can expect to experience through the Accounting Internship</w:t>
      </w:r>
      <w:r w:rsidR="00636754" w:rsidRPr="002C1FA4">
        <w:rPr>
          <w:rFonts w:asciiTheme="majorHAnsi" w:hAnsiTheme="majorHAnsi"/>
          <w:sz w:val="20"/>
        </w:rPr>
        <w:t xml:space="preserve"> at Regency Centers</w:t>
      </w:r>
      <w:r w:rsidR="0093459B" w:rsidRPr="002C1FA4">
        <w:rPr>
          <w:rFonts w:asciiTheme="majorHAnsi" w:hAnsiTheme="majorHAnsi"/>
          <w:sz w:val="20"/>
        </w:rPr>
        <w:t xml:space="preserve"> includes: </w:t>
      </w:r>
    </w:p>
    <w:p w14:paraId="79E93798" w14:textId="77777777" w:rsidR="00D222DC" w:rsidRPr="002C1FA4" w:rsidRDefault="00D222DC" w:rsidP="00D222DC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Corporate Accounting</w:t>
      </w:r>
      <w:r w:rsidR="001E0BCE" w:rsidRPr="002C1FA4">
        <w:rPr>
          <w:rFonts w:asciiTheme="majorHAnsi" w:hAnsiTheme="majorHAnsi"/>
          <w:sz w:val="20"/>
        </w:rPr>
        <w:t>,</w:t>
      </w:r>
      <w:r w:rsidRPr="002C1FA4">
        <w:rPr>
          <w:rFonts w:asciiTheme="majorHAnsi" w:hAnsiTheme="majorHAnsi"/>
          <w:sz w:val="20"/>
        </w:rPr>
        <w:t xml:space="preserve"> Treasury</w:t>
      </w:r>
      <w:r w:rsidR="001E0BCE" w:rsidRPr="002C1FA4">
        <w:rPr>
          <w:rFonts w:asciiTheme="majorHAnsi" w:hAnsiTheme="majorHAnsi"/>
          <w:sz w:val="20"/>
        </w:rPr>
        <w:t xml:space="preserve"> and Accounts Payable</w:t>
      </w:r>
    </w:p>
    <w:p w14:paraId="0306C9C5" w14:textId="77777777" w:rsidR="0093459B" w:rsidRPr="002C1FA4" w:rsidRDefault="00636754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 </w:t>
      </w:r>
      <w:r w:rsidR="00B517B3" w:rsidRPr="002C1FA4">
        <w:rPr>
          <w:rFonts w:asciiTheme="majorHAnsi" w:hAnsiTheme="majorHAnsi"/>
          <w:sz w:val="20"/>
        </w:rPr>
        <w:t>Corporate accounting, including departmental G&amp;A</w:t>
      </w:r>
    </w:p>
    <w:p w14:paraId="36772E4F" w14:textId="77777777" w:rsidR="00636754" w:rsidRPr="002C1FA4" w:rsidRDefault="00636754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 </w:t>
      </w:r>
      <w:r w:rsidR="00B517B3" w:rsidRPr="002C1FA4">
        <w:rPr>
          <w:rFonts w:asciiTheme="majorHAnsi" w:hAnsiTheme="majorHAnsi"/>
          <w:sz w:val="20"/>
        </w:rPr>
        <w:t>Treasury management</w:t>
      </w:r>
    </w:p>
    <w:p w14:paraId="153858D5" w14:textId="77777777" w:rsidR="00636754" w:rsidRPr="002C1FA4" w:rsidRDefault="00B517B3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Accounts payable and procure</w:t>
      </w:r>
      <w:r w:rsidR="00061332" w:rsidRPr="002C1FA4">
        <w:rPr>
          <w:rFonts w:asciiTheme="majorHAnsi" w:hAnsiTheme="majorHAnsi"/>
          <w:sz w:val="20"/>
        </w:rPr>
        <w:t>-</w:t>
      </w:r>
      <w:r w:rsidRPr="002C1FA4">
        <w:rPr>
          <w:rFonts w:asciiTheme="majorHAnsi" w:hAnsiTheme="majorHAnsi"/>
          <w:sz w:val="20"/>
        </w:rPr>
        <w:t>to</w:t>
      </w:r>
      <w:r w:rsidR="00061332" w:rsidRPr="002C1FA4">
        <w:rPr>
          <w:rFonts w:asciiTheme="majorHAnsi" w:hAnsiTheme="majorHAnsi"/>
          <w:sz w:val="20"/>
        </w:rPr>
        <w:t>-</w:t>
      </w:r>
      <w:r w:rsidRPr="002C1FA4">
        <w:rPr>
          <w:rFonts w:asciiTheme="majorHAnsi" w:hAnsiTheme="majorHAnsi"/>
          <w:sz w:val="20"/>
        </w:rPr>
        <w:t>pay</w:t>
      </w:r>
    </w:p>
    <w:p w14:paraId="2DB49C7A" w14:textId="77777777" w:rsidR="00D222DC" w:rsidRPr="002C1FA4" w:rsidRDefault="00D222DC" w:rsidP="00D222DC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External Reporting</w:t>
      </w:r>
    </w:p>
    <w:p w14:paraId="04E3B789" w14:textId="77777777" w:rsidR="0093459B" w:rsidRPr="002C1FA4" w:rsidRDefault="00211F68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Consolidation – equity method and non-controlling interests</w:t>
      </w:r>
    </w:p>
    <w:p w14:paraId="2F04B3A0" w14:textId="77777777" w:rsidR="00211F68" w:rsidRPr="002C1FA4" w:rsidRDefault="00211F68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Financial statement </w:t>
      </w:r>
      <w:r w:rsidR="00B517B3" w:rsidRPr="002C1FA4">
        <w:rPr>
          <w:rFonts w:asciiTheme="majorHAnsi" w:hAnsiTheme="majorHAnsi"/>
          <w:sz w:val="20"/>
        </w:rPr>
        <w:t xml:space="preserve">and reporting package </w:t>
      </w:r>
      <w:r w:rsidRPr="002C1FA4">
        <w:rPr>
          <w:rFonts w:asciiTheme="majorHAnsi" w:hAnsiTheme="majorHAnsi"/>
          <w:sz w:val="20"/>
        </w:rPr>
        <w:t>preparation and review</w:t>
      </w:r>
    </w:p>
    <w:p w14:paraId="626BC515" w14:textId="77777777" w:rsidR="00211F68" w:rsidRPr="002C1FA4" w:rsidRDefault="00211F68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Reconciliations and roll</w:t>
      </w:r>
      <w:r w:rsidR="00556791" w:rsidRPr="002C1FA4">
        <w:rPr>
          <w:rFonts w:asciiTheme="majorHAnsi" w:hAnsiTheme="majorHAnsi"/>
          <w:sz w:val="20"/>
        </w:rPr>
        <w:t>-</w:t>
      </w:r>
      <w:r w:rsidRPr="002C1FA4">
        <w:rPr>
          <w:rFonts w:asciiTheme="majorHAnsi" w:hAnsiTheme="majorHAnsi"/>
          <w:sz w:val="20"/>
        </w:rPr>
        <w:t>forward schedules</w:t>
      </w:r>
    </w:p>
    <w:p w14:paraId="5B74AD2A" w14:textId="77777777" w:rsidR="00B517B3" w:rsidRPr="002C1FA4" w:rsidRDefault="00B517B3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Partnership distributions</w:t>
      </w:r>
    </w:p>
    <w:p w14:paraId="26240BBC" w14:textId="77777777" w:rsidR="00D222DC" w:rsidRPr="002C1FA4" w:rsidRDefault="00D222DC" w:rsidP="00D222DC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Internal Audit</w:t>
      </w:r>
    </w:p>
    <w:p w14:paraId="4FE2FF37" w14:textId="77777777" w:rsidR="0093459B" w:rsidRPr="002C1FA4" w:rsidRDefault="00636754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 </w:t>
      </w:r>
      <w:r w:rsidR="001E0BCE" w:rsidRPr="002C1FA4">
        <w:rPr>
          <w:rFonts w:asciiTheme="majorHAnsi" w:hAnsiTheme="majorHAnsi"/>
          <w:sz w:val="20"/>
        </w:rPr>
        <w:t>SOX compliance – control testing and documentation</w:t>
      </w:r>
    </w:p>
    <w:p w14:paraId="5265CB9A" w14:textId="77777777" w:rsidR="00636754" w:rsidRPr="002C1FA4" w:rsidRDefault="00B517B3" w:rsidP="00424AD7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P</w:t>
      </w:r>
      <w:r w:rsidR="001E0BCE" w:rsidRPr="002C1FA4">
        <w:rPr>
          <w:rFonts w:asciiTheme="majorHAnsi" w:hAnsiTheme="majorHAnsi"/>
          <w:sz w:val="20"/>
        </w:rPr>
        <w:t>roject consulting</w:t>
      </w:r>
      <w:r w:rsidRPr="002C1FA4">
        <w:rPr>
          <w:rFonts w:asciiTheme="majorHAnsi" w:hAnsiTheme="majorHAnsi"/>
          <w:sz w:val="20"/>
        </w:rPr>
        <w:t xml:space="preserve"> and </w:t>
      </w:r>
      <w:r w:rsidR="001E0BCE" w:rsidRPr="002C1FA4">
        <w:rPr>
          <w:rFonts w:asciiTheme="majorHAnsi" w:hAnsiTheme="majorHAnsi"/>
          <w:sz w:val="20"/>
        </w:rPr>
        <w:t>operational audits</w:t>
      </w:r>
    </w:p>
    <w:p w14:paraId="2640BEFE" w14:textId="77777777" w:rsidR="001E0BCE" w:rsidRPr="002C1FA4" w:rsidRDefault="001E0BCE" w:rsidP="0093459B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I</w:t>
      </w:r>
      <w:r w:rsidR="003E382F" w:rsidRPr="002C1FA4">
        <w:rPr>
          <w:rFonts w:asciiTheme="majorHAnsi" w:hAnsiTheme="majorHAnsi"/>
          <w:sz w:val="20"/>
        </w:rPr>
        <w:t>ntroduction to c</w:t>
      </w:r>
      <w:r w:rsidRPr="002C1FA4">
        <w:rPr>
          <w:rFonts w:asciiTheme="majorHAnsi" w:hAnsiTheme="majorHAnsi"/>
          <w:sz w:val="20"/>
        </w:rPr>
        <w:t>ommunications with the Audit Committee</w:t>
      </w:r>
    </w:p>
    <w:p w14:paraId="1CEBED45" w14:textId="77777777" w:rsidR="00D222DC" w:rsidRPr="002C1FA4" w:rsidRDefault="00DF6773" w:rsidP="00D222DC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Real Estate</w:t>
      </w:r>
      <w:r w:rsidR="00D222DC" w:rsidRPr="002C1FA4">
        <w:rPr>
          <w:rFonts w:asciiTheme="majorHAnsi" w:hAnsiTheme="majorHAnsi"/>
          <w:sz w:val="20"/>
        </w:rPr>
        <w:t xml:space="preserve"> Accounting</w:t>
      </w:r>
    </w:p>
    <w:p w14:paraId="21FA1F20" w14:textId="77777777" w:rsidR="00061332" w:rsidRPr="002C1FA4" w:rsidRDefault="00061332" w:rsidP="00061332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Property financial statement review &amp; analysis</w:t>
      </w:r>
    </w:p>
    <w:p w14:paraId="1388C4CD" w14:textId="77777777" w:rsidR="00061332" w:rsidRPr="002C1FA4" w:rsidRDefault="00061332" w:rsidP="00061332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Bank &amp; GL account reconciliations</w:t>
      </w:r>
    </w:p>
    <w:p w14:paraId="00F2AC77" w14:textId="77777777" w:rsidR="00061332" w:rsidRPr="002C1FA4" w:rsidRDefault="00061332" w:rsidP="00061332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Tenant recoveries overview</w:t>
      </w:r>
    </w:p>
    <w:p w14:paraId="78CF0959" w14:textId="77777777" w:rsidR="00636754" w:rsidRPr="002C1FA4" w:rsidRDefault="00061332" w:rsidP="00061332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Percentage rent calculations</w:t>
      </w:r>
    </w:p>
    <w:p w14:paraId="39A69D69" w14:textId="77777777" w:rsidR="00D222DC" w:rsidRPr="002C1FA4" w:rsidRDefault="00D222DC" w:rsidP="00D222DC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Tax</w:t>
      </w:r>
    </w:p>
    <w:p w14:paraId="47F190BF" w14:textId="77777777" w:rsidR="001E0BCE" w:rsidRPr="002C1FA4" w:rsidRDefault="001E0BCE" w:rsidP="001E0BCE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Calculating taxable income of entities, including analysis of book/tax differences</w:t>
      </w:r>
    </w:p>
    <w:p w14:paraId="194AD3CB" w14:textId="77777777" w:rsidR="001E0BCE" w:rsidRPr="002C1FA4" w:rsidRDefault="001E0BCE" w:rsidP="001E0BCE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REIT compliance monitoring through quarterly REIT test preparation</w:t>
      </w:r>
    </w:p>
    <w:p w14:paraId="66ABD581" w14:textId="77777777" w:rsidR="001E0BCE" w:rsidRPr="002C1FA4" w:rsidRDefault="00B517B3" w:rsidP="001E0BCE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Roll-forwards </w:t>
      </w:r>
      <w:r w:rsidR="001E0BCE" w:rsidRPr="002C1FA4">
        <w:rPr>
          <w:rFonts w:asciiTheme="majorHAnsi" w:hAnsiTheme="majorHAnsi"/>
          <w:sz w:val="20"/>
        </w:rPr>
        <w:t>o</w:t>
      </w:r>
      <w:r w:rsidRPr="002C1FA4">
        <w:rPr>
          <w:rFonts w:asciiTheme="majorHAnsi" w:hAnsiTheme="majorHAnsi"/>
          <w:sz w:val="20"/>
        </w:rPr>
        <w:t>f</w:t>
      </w:r>
      <w:r w:rsidR="001E0BCE" w:rsidRPr="002C1FA4">
        <w:rPr>
          <w:rFonts w:asciiTheme="majorHAnsi" w:hAnsiTheme="majorHAnsi"/>
          <w:sz w:val="20"/>
        </w:rPr>
        <w:t xml:space="preserve"> partners’ tax capital accounts</w:t>
      </w:r>
    </w:p>
    <w:p w14:paraId="692AAFFF" w14:textId="77777777" w:rsidR="00636754" w:rsidRPr="002C1FA4" w:rsidRDefault="001E0BCE" w:rsidP="001E0BCE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Fixed asset reconciliations and </w:t>
      </w:r>
      <w:proofErr w:type="spellStart"/>
      <w:r w:rsidRPr="002C1FA4">
        <w:rPr>
          <w:rFonts w:asciiTheme="majorHAnsi" w:hAnsiTheme="majorHAnsi"/>
          <w:sz w:val="20"/>
        </w:rPr>
        <w:t>rollforwards</w:t>
      </w:r>
      <w:proofErr w:type="spellEnd"/>
    </w:p>
    <w:p w14:paraId="25AEA653" w14:textId="77777777" w:rsidR="002057B8" w:rsidRPr="002C1FA4" w:rsidRDefault="00636754" w:rsidP="00D222DC">
      <w:p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General experience will be gained in the following common accounting software and tools:</w:t>
      </w:r>
    </w:p>
    <w:p w14:paraId="382F8C14" w14:textId="77777777" w:rsidR="00636754" w:rsidRPr="002C1FA4" w:rsidRDefault="00636754">
      <w:pPr>
        <w:pStyle w:val="ListParagraph"/>
        <w:numPr>
          <w:ilvl w:val="0"/>
          <w:numId w:val="22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JD Edwards</w:t>
      </w:r>
      <w:r w:rsidR="001E0BCE" w:rsidRPr="002C1FA4">
        <w:rPr>
          <w:rFonts w:asciiTheme="majorHAnsi" w:hAnsiTheme="majorHAnsi"/>
          <w:sz w:val="20"/>
        </w:rPr>
        <w:t xml:space="preserve"> general ledger system</w:t>
      </w:r>
    </w:p>
    <w:p w14:paraId="131DB183" w14:textId="77777777" w:rsidR="00636754" w:rsidRPr="002C1FA4" w:rsidRDefault="00636754" w:rsidP="00636754">
      <w:pPr>
        <w:pStyle w:val="ListParagraph"/>
        <w:numPr>
          <w:ilvl w:val="0"/>
          <w:numId w:val="22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Reporting and inquiry tool</w:t>
      </w:r>
      <w:r w:rsidR="00F20C8D" w:rsidRPr="002C1FA4">
        <w:rPr>
          <w:rFonts w:asciiTheme="majorHAnsi" w:hAnsiTheme="majorHAnsi"/>
          <w:sz w:val="20"/>
        </w:rPr>
        <w:t>s, such as GL Inquiry / Console</w:t>
      </w:r>
      <w:r w:rsidRPr="002C1FA4">
        <w:rPr>
          <w:rFonts w:asciiTheme="majorHAnsi" w:hAnsiTheme="majorHAnsi"/>
          <w:sz w:val="20"/>
        </w:rPr>
        <w:t xml:space="preserve"> </w:t>
      </w:r>
      <w:r w:rsidR="00F20C8D" w:rsidRPr="002C1FA4">
        <w:rPr>
          <w:rFonts w:asciiTheme="majorHAnsi" w:hAnsiTheme="majorHAnsi"/>
          <w:sz w:val="20"/>
        </w:rPr>
        <w:t xml:space="preserve">and </w:t>
      </w:r>
      <w:r w:rsidRPr="002C1FA4">
        <w:rPr>
          <w:rFonts w:asciiTheme="majorHAnsi" w:hAnsiTheme="majorHAnsi"/>
          <w:sz w:val="20"/>
        </w:rPr>
        <w:t>Spreadsheet Server</w:t>
      </w:r>
    </w:p>
    <w:p w14:paraId="752FA4AF" w14:textId="77777777" w:rsidR="00D222DC" w:rsidRPr="002C1FA4" w:rsidRDefault="00636754" w:rsidP="00544512">
      <w:pPr>
        <w:pStyle w:val="ListParagraph"/>
        <w:numPr>
          <w:ilvl w:val="0"/>
          <w:numId w:val="22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Excel – including advanced level skills for reporting and analysis, such as pivot tables, formulas and functions, etc.  </w:t>
      </w:r>
    </w:p>
    <w:p w14:paraId="3FCDD352" w14:textId="77777777" w:rsidR="00D222DC" w:rsidRPr="002C1FA4" w:rsidRDefault="00D222DC" w:rsidP="00D222DC">
      <w:pPr>
        <w:pStyle w:val="Heading1"/>
        <w:pBdr>
          <w:top w:val="single" w:sz="24" w:space="0" w:color="F9A273" w:themeColor="accent6" w:themeTint="99"/>
          <w:left w:val="single" w:sz="24" w:space="0" w:color="F9A273" w:themeColor="accent6" w:themeTint="99"/>
          <w:bottom w:val="single" w:sz="24" w:space="0" w:color="F9A273" w:themeColor="accent6" w:themeTint="99"/>
          <w:right w:val="single" w:sz="24" w:space="0" w:color="F9A273" w:themeColor="accent6" w:themeTint="99"/>
        </w:pBdr>
        <w:shd w:val="clear" w:color="auto" w:fill="F9A273" w:themeFill="accent6" w:themeFillTint="99"/>
        <w:rPr>
          <w:color w:val="FBC1A2" w:themeColor="accent6" w:themeTint="66"/>
          <w:sz w:val="20"/>
        </w:rPr>
      </w:pPr>
      <w:r w:rsidRPr="002C1FA4">
        <w:rPr>
          <w:sz w:val="20"/>
        </w:rPr>
        <w:lastRenderedPageBreak/>
        <w:t>Expectations</w:t>
      </w:r>
    </w:p>
    <w:p w14:paraId="5630D378" w14:textId="77777777" w:rsidR="00D222DC" w:rsidRPr="002C1FA4" w:rsidRDefault="00D222DC" w:rsidP="00D222DC">
      <w:p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The </w:t>
      </w:r>
      <w:r w:rsidR="00525204" w:rsidRPr="002C1FA4">
        <w:rPr>
          <w:rFonts w:asciiTheme="majorHAnsi" w:hAnsiTheme="majorHAnsi"/>
          <w:sz w:val="20"/>
        </w:rPr>
        <w:t xml:space="preserve">UNF </w:t>
      </w:r>
      <w:r w:rsidRPr="002C1FA4">
        <w:rPr>
          <w:rFonts w:asciiTheme="majorHAnsi" w:hAnsiTheme="majorHAnsi"/>
          <w:sz w:val="20"/>
        </w:rPr>
        <w:t xml:space="preserve">Accounting Interns will be expected to maintain the same level of professionalism as any other </w:t>
      </w:r>
      <w:r w:rsidR="00F1533D" w:rsidRPr="002C1FA4">
        <w:rPr>
          <w:rFonts w:asciiTheme="majorHAnsi" w:hAnsiTheme="majorHAnsi"/>
          <w:sz w:val="20"/>
        </w:rPr>
        <w:t xml:space="preserve">Regency Centers </w:t>
      </w:r>
      <w:r w:rsidRPr="002C1FA4">
        <w:rPr>
          <w:rFonts w:asciiTheme="majorHAnsi" w:hAnsiTheme="majorHAnsi"/>
          <w:sz w:val="20"/>
        </w:rPr>
        <w:t>employee, including</w:t>
      </w:r>
      <w:r w:rsidR="00D073A2" w:rsidRPr="002C1FA4">
        <w:rPr>
          <w:rFonts w:asciiTheme="majorHAnsi" w:hAnsiTheme="majorHAnsi"/>
          <w:sz w:val="20"/>
        </w:rPr>
        <w:t xml:space="preserve"> but </w:t>
      </w:r>
      <w:r w:rsidR="00B6432A" w:rsidRPr="002C1FA4">
        <w:rPr>
          <w:rFonts w:asciiTheme="majorHAnsi" w:hAnsiTheme="majorHAnsi"/>
          <w:sz w:val="20"/>
        </w:rPr>
        <w:t xml:space="preserve">not </w:t>
      </w:r>
      <w:r w:rsidR="00D073A2" w:rsidRPr="002C1FA4">
        <w:rPr>
          <w:rFonts w:asciiTheme="majorHAnsi" w:hAnsiTheme="majorHAnsi"/>
          <w:sz w:val="20"/>
        </w:rPr>
        <w:t>limited to</w:t>
      </w:r>
      <w:r w:rsidRPr="002C1FA4">
        <w:rPr>
          <w:rFonts w:asciiTheme="majorHAnsi" w:hAnsiTheme="majorHAnsi"/>
          <w:sz w:val="20"/>
        </w:rPr>
        <w:t>:</w:t>
      </w:r>
    </w:p>
    <w:p w14:paraId="2A2D84E7" w14:textId="6C3A4148" w:rsidR="00525204" w:rsidRPr="002C1FA4" w:rsidRDefault="00525204" w:rsidP="00D222DC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Enroll in 3 credit hour Accounting Internsh</w:t>
      </w:r>
      <w:r w:rsidR="00A603C8">
        <w:rPr>
          <w:rFonts w:asciiTheme="majorHAnsi" w:hAnsiTheme="majorHAnsi"/>
          <w:sz w:val="20"/>
        </w:rPr>
        <w:t xml:space="preserve">ip Course (ACG 4941) – Fall </w:t>
      </w:r>
      <w:r w:rsidR="00073CA2">
        <w:rPr>
          <w:rFonts w:asciiTheme="majorHAnsi" w:hAnsiTheme="majorHAnsi"/>
          <w:sz w:val="20"/>
        </w:rPr>
        <w:t>2024</w:t>
      </w:r>
    </w:p>
    <w:p w14:paraId="2F505162" w14:textId="77777777" w:rsidR="00D222DC" w:rsidRPr="000F266F" w:rsidRDefault="000F266F" w:rsidP="00D222DC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Follow</w:t>
      </w:r>
      <w:r w:rsidR="0093459B" w:rsidRPr="000F266F">
        <w:rPr>
          <w:rFonts w:asciiTheme="majorHAnsi" w:hAnsiTheme="majorHAnsi"/>
          <w:sz w:val="20"/>
        </w:rPr>
        <w:t xml:space="preserve"> an agreed upon</w:t>
      </w:r>
      <w:r w:rsidR="00D222DC" w:rsidRPr="000F266F">
        <w:rPr>
          <w:rFonts w:asciiTheme="majorHAnsi" w:hAnsiTheme="majorHAnsi"/>
          <w:sz w:val="20"/>
        </w:rPr>
        <w:t xml:space="preserve"> work schedule</w:t>
      </w:r>
    </w:p>
    <w:p w14:paraId="374EF0AC" w14:textId="77777777" w:rsidR="00D222DC" w:rsidRPr="00780F28" w:rsidRDefault="000F266F" w:rsidP="00D222DC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Adhere to Regency’s</w:t>
      </w:r>
      <w:r w:rsidR="00FC788C">
        <w:rPr>
          <w:rFonts w:asciiTheme="majorHAnsi" w:hAnsiTheme="majorHAnsi"/>
          <w:sz w:val="20"/>
        </w:rPr>
        <w:t xml:space="preserve"> relaxed business casual </w:t>
      </w:r>
      <w:r>
        <w:rPr>
          <w:rFonts w:asciiTheme="majorHAnsi" w:hAnsiTheme="majorHAnsi"/>
          <w:sz w:val="20"/>
        </w:rPr>
        <w:t xml:space="preserve"> dress code under our </w:t>
      </w:r>
      <w:r w:rsidRPr="00780F28">
        <w:rPr>
          <w:rFonts w:asciiTheme="majorHAnsi" w:hAnsiTheme="majorHAnsi"/>
          <w:sz w:val="20"/>
        </w:rPr>
        <w:t>Dress for Your Day approach</w:t>
      </w:r>
    </w:p>
    <w:p w14:paraId="6A73C8AE" w14:textId="77777777" w:rsidR="00D222DC" w:rsidRPr="002C1FA4" w:rsidRDefault="00D222DC" w:rsidP="00D222DC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Be respectful of and develop working relationships with co-workers</w:t>
      </w:r>
      <w:r w:rsidR="00A77766" w:rsidRPr="002C1FA4">
        <w:rPr>
          <w:rFonts w:asciiTheme="majorHAnsi" w:hAnsiTheme="majorHAnsi"/>
          <w:sz w:val="20"/>
        </w:rPr>
        <w:t xml:space="preserve"> and participate in meetings or other company events</w:t>
      </w:r>
    </w:p>
    <w:p w14:paraId="76E69F03" w14:textId="77777777" w:rsidR="00D222DC" w:rsidRPr="00306B5F" w:rsidRDefault="00D222DC" w:rsidP="00306B5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Perform assigned </w:t>
      </w:r>
      <w:r w:rsidR="0093459B" w:rsidRPr="002C1FA4">
        <w:rPr>
          <w:rFonts w:asciiTheme="majorHAnsi" w:hAnsiTheme="majorHAnsi"/>
          <w:sz w:val="20"/>
        </w:rPr>
        <w:t>duties in an efficient and accurate manner</w:t>
      </w:r>
    </w:p>
    <w:p w14:paraId="086F3433" w14:textId="77777777" w:rsidR="00716A08" w:rsidRPr="002C1FA4" w:rsidRDefault="00D731E2" w:rsidP="00544512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Maintain the hig</w:t>
      </w:r>
      <w:r w:rsidR="00C123A3" w:rsidRPr="002C1FA4">
        <w:rPr>
          <w:rFonts w:asciiTheme="majorHAnsi" w:hAnsiTheme="majorHAnsi"/>
          <w:sz w:val="20"/>
        </w:rPr>
        <w:t>hest level of ethical standards</w:t>
      </w:r>
      <w:r w:rsidR="00525204" w:rsidRPr="002C1FA4">
        <w:rPr>
          <w:rFonts w:asciiTheme="majorHAnsi" w:hAnsiTheme="majorHAnsi"/>
          <w:sz w:val="20"/>
        </w:rPr>
        <w:t xml:space="preserve"> and comply with employee handbook</w:t>
      </w:r>
      <w:r w:rsidR="00A603C8">
        <w:rPr>
          <w:rFonts w:asciiTheme="majorHAnsi" w:hAnsiTheme="majorHAnsi"/>
          <w:sz w:val="20"/>
        </w:rPr>
        <w:t>, including current COVID protocols</w:t>
      </w:r>
      <w:r w:rsidR="00615911">
        <w:rPr>
          <w:rFonts w:asciiTheme="majorHAnsi" w:hAnsiTheme="majorHAnsi"/>
          <w:sz w:val="20"/>
        </w:rPr>
        <w:t xml:space="preserve"> which align with CDC guidance</w:t>
      </w:r>
    </w:p>
    <w:p w14:paraId="2D32309E" w14:textId="77777777" w:rsidR="00716A08" w:rsidRPr="002C1FA4" w:rsidRDefault="00716A08" w:rsidP="00716A08">
      <w:pPr>
        <w:pStyle w:val="Heading1"/>
        <w:pBdr>
          <w:top w:val="single" w:sz="24" w:space="0" w:color="F9A273" w:themeColor="accent6" w:themeTint="99"/>
          <w:left w:val="single" w:sz="24" w:space="0" w:color="F9A273" w:themeColor="accent6" w:themeTint="99"/>
          <w:bottom w:val="single" w:sz="24" w:space="0" w:color="F9A273" w:themeColor="accent6" w:themeTint="99"/>
          <w:right w:val="single" w:sz="24" w:space="0" w:color="F9A273" w:themeColor="accent6" w:themeTint="99"/>
        </w:pBdr>
        <w:shd w:val="clear" w:color="auto" w:fill="F9A273" w:themeFill="accent6" w:themeFillTint="99"/>
        <w:rPr>
          <w:color w:val="FBC1A2" w:themeColor="accent6" w:themeTint="66"/>
          <w:sz w:val="20"/>
        </w:rPr>
      </w:pPr>
      <w:r w:rsidRPr="002C1FA4">
        <w:rPr>
          <w:sz w:val="20"/>
        </w:rPr>
        <w:t>QUALIFICATIONS</w:t>
      </w:r>
    </w:p>
    <w:p w14:paraId="797FD7B1" w14:textId="77777777" w:rsidR="00716A08" w:rsidRPr="002C1FA4" w:rsidRDefault="00B83810" w:rsidP="00716A08">
      <w:pPr>
        <w:pStyle w:val="ListParagraph"/>
        <w:numPr>
          <w:ilvl w:val="0"/>
          <w:numId w:val="26"/>
        </w:numPr>
        <w:rPr>
          <w:sz w:val="20"/>
        </w:rPr>
      </w:pPr>
      <w:r w:rsidRPr="002C1FA4">
        <w:rPr>
          <w:sz w:val="20"/>
        </w:rPr>
        <w:t>Junior</w:t>
      </w:r>
      <w:r w:rsidR="008C5CC0">
        <w:rPr>
          <w:sz w:val="20"/>
        </w:rPr>
        <w:t xml:space="preserve"> or</w:t>
      </w:r>
      <w:r w:rsidR="00525204" w:rsidRPr="002C1FA4">
        <w:rPr>
          <w:sz w:val="20"/>
        </w:rPr>
        <w:t xml:space="preserve"> </w:t>
      </w:r>
      <w:r w:rsidRPr="002C1FA4">
        <w:rPr>
          <w:sz w:val="20"/>
        </w:rPr>
        <w:t>senior</w:t>
      </w:r>
      <w:r w:rsidR="008C5CC0">
        <w:rPr>
          <w:sz w:val="20"/>
        </w:rPr>
        <w:t xml:space="preserve"> </w:t>
      </w:r>
      <w:r w:rsidRPr="002C1FA4">
        <w:rPr>
          <w:sz w:val="20"/>
        </w:rPr>
        <w:t xml:space="preserve">with a declared major in </w:t>
      </w:r>
      <w:r w:rsidR="00716A08" w:rsidRPr="002C1FA4">
        <w:rPr>
          <w:sz w:val="20"/>
        </w:rPr>
        <w:t xml:space="preserve">Accounting </w:t>
      </w:r>
    </w:p>
    <w:p w14:paraId="38828747" w14:textId="77777777" w:rsidR="00C123A3" w:rsidRPr="002C1FA4" w:rsidRDefault="00C123A3" w:rsidP="00544512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Minimum GPA of 3.0 and in good standing</w:t>
      </w:r>
      <w:r w:rsidR="00525204" w:rsidRPr="002C1FA4">
        <w:rPr>
          <w:rFonts w:asciiTheme="majorHAnsi" w:hAnsiTheme="majorHAnsi"/>
          <w:sz w:val="20"/>
        </w:rPr>
        <w:t xml:space="preserve"> with UNF</w:t>
      </w:r>
    </w:p>
    <w:p w14:paraId="028C90E1" w14:textId="77777777" w:rsidR="008835B2" w:rsidRDefault="00525204" w:rsidP="00544512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 xml:space="preserve">Completed Intermediate Accounting (ACG 3103) </w:t>
      </w:r>
    </w:p>
    <w:p w14:paraId="659EB24C" w14:textId="19A25DDD" w:rsidR="008C5CC0" w:rsidRPr="008C5CC0" w:rsidRDefault="008C5CC0" w:rsidP="008C5CC0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Enrolled in at least 12 credit hours during the pre</w:t>
      </w:r>
      <w:r w:rsidR="00576F99">
        <w:rPr>
          <w:rFonts w:asciiTheme="majorHAnsi" w:hAnsiTheme="majorHAnsi"/>
          <w:sz w:val="20"/>
        </w:rPr>
        <w:t>vious semester (e.g. spring 202</w:t>
      </w:r>
      <w:r w:rsidR="00FA30F1">
        <w:rPr>
          <w:rFonts w:asciiTheme="majorHAnsi" w:hAnsiTheme="majorHAnsi"/>
          <w:sz w:val="20"/>
        </w:rPr>
        <w:t>3</w:t>
      </w:r>
      <w:r>
        <w:rPr>
          <w:rFonts w:asciiTheme="majorHAnsi" w:hAnsiTheme="majorHAnsi"/>
          <w:sz w:val="20"/>
        </w:rPr>
        <w:t>) or its equivalent over the summer term</w:t>
      </w:r>
    </w:p>
    <w:p w14:paraId="142AEE0C" w14:textId="77777777" w:rsidR="00525204" w:rsidRPr="002C1FA4" w:rsidRDefault="00525204" w:rsidP="00525204">
      <w:pPr>
        <w:pStyle w:val="Heading1"/>
        <w:pBdr>
          <w:top w:val="single" w:sz="24" w:space="0" w:color="F9A273" w:themeColor="accent6" w:themeTint="99"/>
          <w:left w:val="single" w:sz="24" w:space="0" w:color="F9A273" w:themeColor="accent6" w:themeTint="99"/>
          <w:bottom w:val="single" w:sz="24" w:space="0" w:color="F9A273" w:themeColor="accent6" w:themeTint="99"/>
          <w:right w:val="single" w:sz="24" w:space="0" w:color="F9A273" w:themeColor="accent6" w:themeTint="99"/>
        </w:pBdr>
        <w:shd w:val="clear" w:color="auto" w:fill="F9A273" w:themeFill="accent6" w:themeFillTint="99"/>
        <w:rPr>
          <w:color w:val="FBC1A2" w:themeColor="accent6" w:themeTint="66"/>
          <w:sz w:val="20"/>
        </w:rPr>
      </w:pPr>
      <w:r w:rsidRPr="002C1FA4">
        <w:rPr>
          <w:sz w:val="20"/>
        </w:rPr>
        <w:t>BENEFITS</w:t>
      </w:r>
    </w:p>
    <w:p w14:paraId="4DFB0412" w14:textId="04F7A481" w:rsidR="008C5CC0" w:rsidRDefault="008C5CC0" w:rsidP="008C5CC0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Scholarship award of $</w:t>
      </w:r>
      <w:r w:rsidR="00576F99">
        <w:rPr>
          <w:sz w:val="20"/>
        </w:rPr>
        <w:t>1,579</w:t>
      </w:r>
      <w:r>
        <w:rPr>
          <w:sz w:val="20"/>
        </w:rPr>
        <w:t xml:space="preserve"> plus </w:t>
      </w:r>
      <w:r w:rsidR="00FA30F1">
        <w:rPr>
          <w:sz w:val="20"/>
        </w:rPr>
        <w:t>~</w:t>
      </w:r>
      <w:r>
        <w:rPr>
          <w:sz w:val="20"/>
        </w:rPr>
        <w:t>$</w:t>
      </w:r>
      <w:r w:rsidR="00576F99">
        <w:rPr>
          <w:sz w:val="20"/>
        </w:rPr>
        <w:t>18 per hour</w:t>
      </w:r>
      <w:r>
        <w:rPr>
          <w:sz w:val="20"/>
        </w:rPr>
        <w:t xml:space="preserve"> pay during internship work experience</w:t>
      </w:r>
    </w:p>
    <w:p w14:paraId="31D80BD8" w14:textId="77777777" w:rsidR="00525204" w:rsidRPr="002C1FA4" w:rsidRDefault="008C5CC0" w:rsidP="00525204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 xml:space="preserve">Flexible, </w:t>
      </w:r>
      <w:r w:rsidR="00525204" w:rsidRPr="002C1FA4">
        <w:rPr>
          <w:sz w:val="20"/>
        </w:rPr>
        <w:t>part-time schedule (20 hours per week)</w:t>
      </w:r>
      <w:r>
        <w:rPr>
          <w:sz w:val="20"/>
        </w:rPr>
        <w:t xml:space="preserve"> </w:t>
      </w:r>
    </w:p>
    <w:p w14:paraId="484B2720" w14:textId="77777777" w:rsidR="002C1FA4" w:rsidRDefault="00525204" w:rsidP="002C1FA4">
      <w:pPr>
        <w:pStyle w:val="ListParagraph"/>
        <w:numPr>
          <w:ilvl w:val="0"/>
          <w:numId w:val="26"/>
        </w:numPr>
        <w:rPr>
          <w:sz w:val="20"/>
        </w:rPr>
      </w:pPr>
      <w:r w:rsidRPr="002C1FA4">
        <w:rPr>
          <w:sz w:val="20"/>
        </w:rPr>
        <w:t>Downtown office location (Wells Fargo tower) with paid parking</w:t>
      </w:r>
    </w:p>
    <w:p w14:paraId="0628BF4F" w14:textId="77777777" w:rsidR="008C5CC0" w:rsidRDefault="008C5CC0" w:rsidP="008C5CC0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Introduction to the commercial real estate industry, including:</w:t>
      </w:r>
    </w:p>
    <w:p w14:paraId="643FF484" w14:textId="77777777" w:rsidR="008C5CC0" w:rsidRDefault="008C5CC0" w:rsidP="008C5CC0">
      <w:pPr>
        <w:pStyle w:val="ListParagraph"/>
        <w:numPr>
          <w:ilvl w:val="1"/>
          <w:numId w:val="26"/>
        </w:numPr>
        <w:rPr>
          <w:sz w:val="20"/>
        </w:rPr>
      </w:pPr>
      <w:r>
        <w:rPr>
          <w:sz w:val="20"/>
        </w:rPr>
        <w:t>Overview of retail commercial real estate operations and accounting</w:t>
      </w:r>
    </w:p>
    <w:p w14:paraId="04945C59" w14:textId="77777777" w:rsidR="008C5CC0" w:rsidRDefault="007149CF" w:rsidP="008C5CC0">
      <w:pPr>
        <w:pStyle w:val="ListParagraph"/>
        <w:numPr>
          <w:ilvl w:val="1"/>
          <w:numId w:val="26"/>
        </w:numPr>
        <w:rPr>
          <w:sz w:val="20"/>
        </w:rPr>
      </w:pPr>
      <w:r>
        <w:rPr>
          <w:sz w:val="20"/>
        </w:rPr>
        <w:t>Meet</w:t>
      </w:r>
      <w:r w:rsidR="008C5CC0">
        <w:rPr>
          <w:sz w:val="20"/>
        </w:rPr>
        <w:t xml:space="preserve"> key accounting and finance leaders </w:t>
      </w:r>
      <w:r>
        <w:rPr>
          <w:sz w:val="20"/>
        </w:rPr>
        <w:t>at</w:t>
      </w:r>
      <w:r w:rsidR="008C5CC0">
        <w:rPr>
          <w:sz w:val="20"/>
        </w:rPr>
        <w:t xml:space="preserve"> Regency Centers, an S&amp;P 500 real estate company headquartered in Jacksonville</w:t>
      </w:r>
    </w:p>
    <w:p w14:paraId="4AA7877E" w14:textId="77777777" w:rsidR="002C1FA4" w:rsidRPr="002C1FA4" w:rsidRDefault="002C1FA4" w:rsidP="002C1FA4">
      <w:pPr>
        <w:pStyle w:val="Heading1"/>
        <w:pBdr>
          <w:top w:val="single" w:sz="24" w:space="0" w:color="F9A273" w:themeColor="accent6" w:themeTint="99"/>
          <w:left w:val="single" w:sz="24" w:space="0" w:color="F9A273" w:themeColor="accent6" w:themeTint="99"/>
          <w:bottom w:val="single" w:sz="24" w:space="0" w:color="F9A273" w:themeColor="accent6" w:themeTint="99"/>
          <w:right w:val="single" w:sz="24" w:space="0" w:color="F9A273" w:themeColor="accent6" w:themeTint="99"/>
        </w:pBdr>
        <w:shd w:val="clear" w:color="auto" w:fill="F9A273" w:themeFill="accent6" w:themeFillTint="99"/>
        <w:rPr>
          <w:color w:val="FBC1A2" w:themeColor="accent6" w:themeTint="66"/>
          <w:sz w:val="20"/>
        </w:rPr>
      </w:pPr>
      <w:r w:rsidRPr="002C1FA4">
        <w:rPr>
          <w:sz w:val="20"/>
        </w:rPr>
        <w:t>Contact info and how to apply</w:t>
      </w:r>
    </w:p>
    <w:p w14:paraId="1805B95A" w14:textId="45CF940C" w:rsidR="002C1FA4" w:rsidRPr="002C1FA4" w:rsidRDefault="002C1FA4" w:rsidP="002C1FA4">
      <w:pPr>
        <w:pStyle w:val="ListParagraph"/>
        <w:ind w:left="0"/>
        <w:rPr>
          <w:sz w:val="20"/>
        </w:rPr>
      </w:pPr>
      <w:r w:rsidRPr="00754261">
        <w:rPr>
          <w:sz w:val="20"/>
        </w:rPr>
        <w:t xml:space="preserve">Apply for Regency’s </w:t>
      </w:r>
      <w:r w:rsidR="00306B5F" w:rsidRPr="00754261">
        <w:rPr>
          <w:sz w:val="20"/>
        </w:rPr>
        <w:t xml:space="preserve">accounting </w:t>
      </w:r>
      <w:r w:rsidRPr="00754261">
        <w:rPr>
          <w:sz w:val="20"/>
        </w:rPr>
        <w:t xml:space="preserve">internship program through UNF Handshake by </w:t>
      </w:r>
      <w:r w:rsidR="00FA30F1">
        <w:rPr>
          <w:sz w:val="20"/>
          <w:u w:val="single"/>
        </w:rPr>
        <w:t xml:space="preserve">June </w:t>
      </w:r>
      <w:r w:rsidR="00187BF8">
        <w:rPr>
          <w:sz w:val="20"/>
          <w:u w:val="single"/>
        </w:rPr>
        <w:t>30</w:t>
      </w:r>
      <w:r w:rsidR="00FA30F1">
        <w:rPr>
          <w:sz w:val="20"/>
          <w:u w:val="single"/>
        </w:rPr>
        <w:t>,</w:t>
      </w:r>
      <w:r w:rsidRPr="00754261">
        <w:rPr>
          <w:sz w:val="20"/>
          <w:u w:val="single"/>
        </w:rPr>
        <w:t xml:space="preserve"> </w:t>
      </w:r>
      <w:r w:rsidR="00A603C8" w:rsidRPr="00754261">
        <w:rPr>
          <w:sz w:val="20"/>
          <w:u w:val="single"/>
        </w:rPr>
        <w:t>202</w:t>
      </w:r>
      <w:r w:rsidR="00073CA2">
        <w:rPr>
          <w:sz w:val="20"/>
          <w:u w:val="single"/>
        </w:rPr>
        <w:t>4</w:t>
      </w:r>
      <w:r w:rsidR="00187BF8">
        <w:rPr>
          <w:sz w:val="20"/>
          <w:u w:val="single"/>
        </w:rPr>
        <w:t>.</w:t>
      </w:r>
      <w:r w:rsidR="007149CF" w:rsidRPr="00754261">
        <w:rPr>
          <w:sz w:val="20"/>
        </w:rPr>
        <w:t xml:space="preserve">  Interviews will be held in </w:t>
      </w:r>
      <w:r w:rsidR="00754261" w:rsidRPr="00754261">
        <w:rPr>
          <w:sz w:val="20"/>
        </w:rPr>
        <w:t>mid-</w:t>
      </w:r>
      <w:r w:rsidR="00FA30F1">
        <w:rPr>
          <w:sz w:val="20"/>
        </w:rPr>
        <w:t>July</w:t>
      </w:r>
      <w:r w:rsidR="00754261" w:rsidRPr="00754261">
        <w:rPr>
          <w:sz w:val="20"/>
        </w:rPr>
        <w:t xml:space="preserve"> 202</w:t>
      </w:r>
      <w:r w:rsidR="00FA30F1">
        <w:rPr>
          <w:sz w:val="20"/>
        </w:rPr>
        <w:t>3</w:t>
      </w:r>
      <w:r w:rsidR="00D06F79" w:rsidRPr="00754261">
        <w:rPr>
          <w:sz w:val="20"/>
        </w:rPr>
        <w:t xml:space="preserve"> t</w:t>
      </w:r>
      <w:r w:rsidR="007149CF" w:rsidRPr="00754261">
        <w:rPr>
          <w:sz w:val="20"/>
        </w:rPr>
        <w:t xml:space="preserve">o allow for selection and notification in advance </w:t>
      </w:r>
      <w:r w:rsidR="00227488">
        <w:rPr>
          <w:sz w:val="20"/>
        </w:rPr>
        <w:t xml:space="preserve">of scheduling fall classes and </w:t>
      </w:r>
      <w:r w:rsidR="007149CF" w:rsidRPr="00754261">
        <w:rPr>
          <w:sz w:val="20"/>
        </w:rPr>
        <w:t>Regency’s August 202</w:t>
      </w:r>
      <w:r w:rsidR="00073CA2">
        <w:rPr>
          <w:sz w:val="20"/>
        </w:rPr>
        <w:t>4</w:t>
      </w:r>
      <w:r w:rsidR="007149CF" w:rsidRPr="00754261">
        <w:rPr>
          <w:sz w:val="20"/>
        </w:rPr>
        <w:t xml:space="preserve"> orientation event.</w:t>
      </w:r>
      <w:r w:rsidR="007149CF">
        <w:rPr>
          <w:sz w:val="20"/>
        </w:rPr>
        <w:t xml:space="preserve">  </w:t>
      </w:r>
    </w:p>
    <w:p w14:paraId="2EA47D99" w14:textId="77777777" w:rsidR="002C1FA4" w:rsidRPr="002C1FA4" w:rsidRDefault="002C1FA4" w:rsidP="002C1FA4">
      <w:pPr>
        <w:pStyle w:val="ListParagraph"/>
        <w:ind w:left="0"/>
        <w:rPr>
          <w:sz w:val="20"/>
        </w:rPr>
      </w:pPr>
    </w:p>
    <w:p w14:paraId="7773307E" w14:textId="16B62664" w:rsidR="002C1FA4" w:rsidRDefault="002C1FA4" w:rsidP="002C1FA4">
      <w:pPr>
        <w:pStyle w:val="ListParagraph"/>
        <w:ind w:left="0"/>
        <w:rPr>
          <w:sz w:val="20"/>
        </w:rPr>
      </w:pPr>
      <w:r w:rsidRPr="002C1FA4">
        <w:rPr>
          <w:sz w:val="20"/>
        </w:rPr>
        <w:t>For additional questions about the program, contact</w:t>
      </w:r>
      <w:r w:rsidR="00187BF8">
        <w:rPr>
          <w:sz w:val="20"/>
        </w:rPr>
        <w:t xml:space="preserve"> Beth Peeler @ </w:t>
      </w:r>
      <w:hyperlink r:id="rId11" w:history="1">
        <w:r w:rsidR="00187BF8" w:rsidRPr="006235A1">
          <w:rPr>
            <w:rStyle w:val="Hyperlink"/>
            <w:sz w:val="20"/>
          </w:rPr>
          <w:t>Bethpeeler@regencycenters.com</w:t>
        </w:r>
      </w:hyperlink>
      <w:r w:rsidR="00187BF8">
        <w:rPr>
          <w:sz w:val="20"/>
        </w:rPr>
        <w:t xml:space="preserve"> </w:t>
      </w:r>
    </w:p>
    <w:p w14:paraId="191850C8" w14:textId="77777777" w:rsidR="001E0BCE" w:rsidRPr="002C1FA4" w:rsidRDefault="0096588F" w:rsidP="0096588F">
      <w:pPr>
        <w:jc w:val="center"/>
        <w:rPr>
          <w:rFonts w:asciiTheme="majorHAnsi" w:hAnsiTheme="majorHAnsi"/>
          <w:sz w:val="20"/>
        </w:rPr>
      </w:pPr>
      <w:r w:rsidRPr="002C1FA4">
        <w:rPr>
          <w:rFonts w:asciiTheme="majorHAnsi" w:hAnsiTheme="majorHAnsi"/>
          <w:sz w:val="20"/>
        </w:rPr>
        <w:t>*******************************************************************</w:t>
      </w:r>
    </w:p>
    <w:p w14:paraId="54DFB7A3" w14:textId="77777777" w:rsidR="001E0BCE" w:rsidRPr="002C1FA4" w:rsidRDefault="001E0BCE" w:rsidP="001E0BCE">
      <w:pPr>
        <w:ind w:left="-720"/>
        <w:jc w:val="center"/>
        <w:rPr>
          <w:rFonts w:asciiTheme="majorHAnsi" w:hAnsiTheme="majorHAnsi"/>
          <w:b/>
          <w:sz w:val="20"/>
        </w:rPr>
      </w:pPr>
      <w:r w:rsidRPr="002C1FA4">
        <w:rPr>
          <w:rFonts w:asciiTheme="majorHAnsi" w:hAnsiTheme="majorHAnsi"/>
          <w:b/>
          <w:sz w:val="20"/>
        </w:rPr>
        <w:t>About Regency Centers Corporation (NASDAQ: REG)</w:t>
      </w:r>
    </w:p>
    <w:p w14:paraId="2594BDC9" w14:textId="77777777" w:rsidR="002C1FA4" w:rsidRPr="002C1FA4" w:rsidRDefault="00227488" w:rsidP="0096588F">
      <w:pPr>
        <w:jc w:val="both"/>
        <w:rPr>
          <w:rFonts w:asciiTheme="majorHAnsi" w:hAnsiTheme="majorHAnsi"/>
          <w:b/>
          <w:i/>
          <w:sz w:val="20"/>
        </w:rPr>
      </w:pPr>
      <w:r>
        <w:rPr>
          <w:rFonts w:asciiTheme="majorHAnsi" w:hAnsiTheme="majorHAnsi"/>
          <w:sz w:val="20"/>
        </w:rPr>
        <w:t xml:space="preserve">Regency Centers is </w:t>
      </w:r>
      <w:r w:rsidRPr="00BF7F85">
        <w:rPr>
          <w:rFonts w:asciiTheme="majorHAnsi" w:hAnsiTheme="majorHAnsi"/>
          <w:sz w:val="20"/>
        </w:rPr>
        <w:t>a</w:t>
      </w:r>
      <w:r w:rsidR="001E0BCE" w:rsidRPr="002C1FA4">
        <w:rPr>
          <w:rFonts w:asciiTheme="majorHAnsi" w:hAnsiTheme="majorHAnsi"/>
          <w:sz w:val="20"/>
        </w:rPr>
        <w:t xml:space="preserve"> preeminent national owner, operator, and developer of shopping centers located in </w:t>
      </w:r>
      <w:r>
        <w:rPr>
          <w:rFonts w:asciiTheme="majorHAnsi" w:hAnsiTheme="majorHAnsi"/>
          <w:sz w:val="20"/>
        </w:rPr>
        <w:t>suburban trade areas with compelling demographics</w:t>
      </w:r>
      <w:r w:rsidR="001E0BCE" w:rsidRPr="002C1FA4">
        <w:rPr>
          <w:rFonts w:asciiTheme="majorHAnsi" w:hAnsiTheme="majorHAnsi"/>
          <w:sz w:val="20"/>
        </w:rPr>
        <w:t xml:space="preserve">. Our portfolio includes thriving properties merchandised with highly productive grocers, restaurants, service providers, and best-in-class retailers that connect to their neighborhoods, communities, and customers. Operating as a fully integrated real estate company, Regency Centers is a qualified real estate investment trust (REIT) that is self-administered, self-managed, and an S&amp;P 500 Index member. For more information, please visit </w:t>
      </w:r>
      <w:hyperlink r:id="rId12" w:history="1">
        <w:r w:rsidR="001E0BCE" w:rsidRPr="002C1FA4">
          <w:rPr>
            <w:rStyle w:val="Hyperlink"/>
            <w:rFonts w:asciiTheme="majorHAnsi" w:hAnsiTheme="majorHAnsi"/>
            <w:sz w:val="20"/>
          </w:rPr>
          <w:t>regencycenters.com</w:t>
        </w:r>
      </w:hyperlink>
      <w:r w:rsidR="001E0BCE" w:rsidRPr="002C1FA4">
        <w:rPr>
          <w:rFonts w:asciiTheme="majorHAnsi" w:hAnsiTheme="majorHAnsi"/>
          <w:sz w:val="20"/>
        </w:rPr>
        <w:t>.</w:t>
      </w:r>
    </w:p>
    <w:sectPr w:rsidR="002C1FA4" w:rsidRPr="002C1FA4" w:rsidSect="00780F2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170" w:bottom="90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FE4D" w14:textId="77777777" w:rsidR="004D20E2" w:rsidRDefault="004D20E2">
      <w:pPr>
        <w:spacing w:after="0" w:line="240" w:lineRule="auto"/>
      </w:pPr>
      <w:r>
        <w:separator/>
      </w:r>
    </w:p>
  </w:endnote>
  <w:endnote w:type="continuationSeparator" w:id="0">
    <w:p w14:paraId="6588E9EF" w14:textId="77777777" w:rsidR="004D20E2" w:rsidRDefault="004D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43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7AE4B" w14:textId="77777777" w:rsidR="004E1AED" w:rsidRDefault="004E1AED" w:rsidP="009658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711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EA5B4" w14:textId="77777777" w:rsidR="00FD7D2E" w:rsidRDefault="00FD7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F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47C4E8" w14:textId="77777777" w:rsidR="00FD7D2E" w:rsidRDefault="00FD7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8C21" w14:textId="77777777" w:rsidR="004D20E2" w:rsidRDefault="004D20E2">
      <w:pPr>
        <w:spacing w:after="0" w:line="240" w:lineRule="auto"/>
      </w:pPr>
      <w:r>
        <w:separator/>
      </w:r>
    </w:p>
  </w:footnote>
  <w:footnote w:type="continuationSeparator" w:id="0">
    <w:p w14:paraId="273C1A51" w14:textId="77777777" w:rsidR="004D20E2" w:rsidRDefault="004D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DE69" w14:textId="77777777" w:rsidR="0096588F" w:rsidRDefault="0096588F" w:rsidP="0096588F">
    <w:pPr>
      <w:pStyle w:val="Header"/>
      <w:jc w:val="right"/>
    </w:pPr>
    <w:r>
      <w:rPr>
        <w:noProof/>
        <w:lang w:eastAsia="en-US"/>
      </w:rPr>
      <w:drawing>
        <wp:inline distT="0" distB="0" distL="0" distR="0" wp14:anchorId="534142AD" wp14:editId="09A7D718">
          <wp:extent cx="978408" cy="402336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ency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BF3" w14:textId="77777777" w:rsidR="007D793F" w:rsidRDefault="007D793F" w:rsidP="007D793F">
    <w:pPr>
      <w:pStyle w:val="Header"/>
      <w:jc w:val="right"/>
    </w:pPr>
    <w:r>
      <w:rPr>
        <w:noProof/>
        <w:lang w:eastAsia="en-US"/>
      </w:rPr>
      <w:drawing>
        <wp:inline distT="0" distB="0" distL="0" distR="0" wp14:anchorId="06F36AF2" wp14:editId="435A745F">
          <wp:extent cx="978408" cy="402336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ency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14482"/>
    <w:multiLevelType w:val="hybridMultilevel"/>
    <w:tmpl w:val="AEB6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8758CA"/>
    <w:multiLevelType w:val="hybridMultilevel"/>
    <w:tmpl w:val="19AAF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D275B"/>
    <w:multiLevelType w:val="hybridMultilevel"/>
    <w:tmpl w:val="F51E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97671"/>
    <w:multiLevelType w:val="hybridMultilevel"/>
    <w:tmpl w:val="5F60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1E99"/>
    <w:multiLevelType w:val="hybridMultilevel"/>
    <w:tmpl w:val="08AE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7E66AE"/>
    <w:multiLevelType w:val="hybridMultilevel"/>
    <w:tmpl w:val="BA06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BDD2926"/>
    <w:multiLevelType w:val="hybridMultilevel"/>
    <w:tmpl w:val="19AAF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64168923">
    <w:abstractNumId w:val="16"/>
  </w:num>
  <w:num w:numId="2" w16cid:durableId="745569457">
    <w:abstractNumId w:val="11"/>
  </w:num>
  <w:num w:numId="3" w16cid:durableId="775293168">
    <w:abstractNumId w:val="15"/>
  </w:num>
  <w:num w:numId="4" w16cid:durableId="129787717">
    <w:abstractNumId w:val="12"/>
  </w:num>
  <w:num w:numId="5" w16cid:durableId="1103838989">
    <w:abstractNumId w:val="21"/>
  </w:num>
  <w:num w:numId="6" w16cid:durableId="1796019018">
    <w:abstractNumId w:val="22"/>
  </w:num>
  <w:num w:numId="7" w16cid:durableId="894776930">
    <w:abstractNumId w:val="19"/>
  </w:num>
  <w:num w:numId="8" w16cid:durableId="1844854717">
    <w:abstractNumId w:val="24"/>
  </w:num>
  <w:num w:numId="9" w16cid:durableId="1484928004">
    <w:abstractNumId w:val="9"/>
  </w:num>
  <w:num w:numId="10" w16cid:durableId="754135398">
    <w:abstractNumId w:val="7"/>
  </w:num>
  <w:num w:numId="11" w16cid:durableId="1080634705">
    <w:abstractNumId w:val="6"/>
  </w:num>
  <w:num w:numId="12" w16cid:durableId="1975141157">
    <w:abstractNumId w:val="5"/>
  </w:num>
  <w:num w:numId="13" w16cid:durableId="612565092">
    <w:abstractNumId w:val="4"/>
  </w:num>
  <w:num w:numId="14" w16cid:durableId="730809163">
    <w:abstractNumId w:val="8"/>
  </w:num>
  <w:num w:numId="15" w16cid:durableId="1251088268">
    <w:abstractNumId w:val="3"/>
  </w:num>
  <w:num w:numId="16" w16cid:durableId="757408459">
    <w:abstractNumId w:val="2"/>
  </w:num>
  <w:num w:numId="17" w16cid:durableId="323438381">
    <w:abstractNumId w:val="1"/>
  </w:num>
  <w:num w:numId="18" w16cid:durableId="1318145174">
    <w:abstractNumId w:val="0"/>
  </w:num>
  <w:num w:numId="19" w16cid:durableId="583614512">
    <w:abstractNumId w:val="13"/>
  </w:num>
  <w:num w:numId="20" w16cid:durableId="1765878272">
    <w:abstractNumId w:val="23"/>
  </w:num>
  <w:num w:numId="21" w16cid:durableId="1149977493">
    <w:abstractNumId w:val="20"/>
  </w:num>
  <w:num w:numId="22" w16cid:durableId="1969700868">
    <w:abstractNumId w:val="17"/>
  </w:num>
  <w:num w:numId="23" w16cid:durableId="996229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49722">
    <w:abstractNumId w:val="18"/>
  </w:num>
  <w:num w:numId="25" w16cid:durableId="1851137831">
    <w:abstractNumId w:val="10"/>
  </w:num>
  <w:num w:numId="26" w16cid:durableId="1855026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3F"/>
    <w:rsid w:val="00025390"/>
    <w:rsid w:val="00061332"/>
    <w:rsid w:val="00073CA2"/>
    <w:rsid w:val="000A5B70"/>
    <w:rsid w:val="000F266F"/>
    <w:rsid w:val="001069B6"/>
    <w:rsid w:val="00187BF8"/>
    <w:rsid w:val="00194DF6"/>
    <w:rsid w:val="001C7E08"/>
    <w:rsid w:val="001E0BCE"/>
    <w:rsid w:val="002057B8"/>
    <w:rsid w:val="00211F68"/>
    <w:rsid w:val="0022318B"/>
    <w:rsid w:val="00227488"/>
    <w:rsid w:val="002C1FA4"/>
    <w:rsid w:val="00306B5F"/>
    <w:rsid w:val="003151A2"/>
    <w:rsid w:val="003C01DD"/>
    <w:rsid w:val="003E382F"/>
    <w:rsid w:val="00436A3C"/>
    <w:rsid w:val="0045678E"/>
    <w:rsid w:val="004B423E"/>
    <w:rsid w:val="004D20E2"/>
    <w:rsid w:val="004E1AED"/>
    <w:rsid w:val="00503B0A"/>
    <w:rsid w:val="00525204"/>
    <w:rsid w:val="00544512"/>
    <w:rsid w:val="00556791"/>
    <w:rsid w:val="00576F99"/>
    <w:rsid w:val="005C12A5"/>
    <w:rsid w:val="005F61DD"/>
    <w:rsid w:val="00615911"/>
    <w:rsid w:val="006327FE"/>
    <w:rsid w:val="00636754"/>
    <w:rsid w:val="00685E14"/>
    <w:rsid w:val="006A066A"/>
    <w:rsid w:val="007149CF"/>
    <w:rsid w:val="00716A08"/>
    <w:rsid w:val="00754261"/>
    <w:rsid w:val="00780F28"/>
    <w:rsid w:val="00797CC5"/>
    <w:rsid w:val="007B76A9"/>
    <w:rsid w:val="007D793F"/>
    <w:rsid w:val="007F35CD"/>
    <w:rsid w:val="007F6EAB"/>
    <w:rsid w:val="0084259C"/>
    <w:rsid w:val="008835B2"/>
    <w:rsid w:val="008B5B3F"/>
    <w:rsid w:val="008C5CC0"/>
    <w:rsid w:val="0093459B"/>
    <w:rsid w:val="0096588F"/>
    <w:rsid w:val="009D6C47"/>
    <w:rsid w:val="00A1310C"/>
    <w:rsid w:val="00A603C8"/>
    <w:rsid w:val="00A77766"/>
    <w:rsid w:val="00B517B3"/>
    <w:rsid w:val="00B6432A"/>
    <w:rsid w:val="00B83810"/>
    <w:rsid w:val="00BF7F85"/>
    <w:rsid w:val="00C123A3"/>
    <w:rsid w:val="00C67C4A"/>
    <w:rsid w:val="00CF532B"/>
    <w:rsid w:val="00D06F79"/>
    <w:rsid w:val="00D073A2"/>
    <w:rsid w:val="00D222DC"/>
    <w:rsid w:val="00D47A97"/>
    <w:rsid w:val="00D731E2"/>
    <w:rsid w:val="00D93076"/>
    <w:rsid w:val="00DF6773"/>
    <w:rsid w:val="00E7168D"/>
    <w:rsid w:val="00E86C1C"/>
    <w:rsid w:val="00E86CF1"/>
    <w:rsid w:val="00EF6B7D"/>
    <w:rsid w:val="00F1533D"/>
    <w:rsid w:val="00F20C8D"/>
    <w:rsid w:val="00FA30F1"/>
    <w:rsid w:val="00FC788C"/>
    <w:rsid w:val="00FD358F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AAF9B7"/>
  <w15:docId w15:val="{FA24BE51-710B-4D58-BCE3-DB7225B6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4567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BCE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stors.regencycenter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peeler@regencycenter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Mondare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2BD596D-F4D2-4D44-AF32-A7011DC3F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purl.org/dc/dcmitype/"/>
    <ds:schemaRef ds:uri="http://schemas.openxmlformats.org/package/2006/metadata/core-properties"/>
    <ds:schemaRef ds:uri="4873beb7-5857-4685-be1f-d57550cc96c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4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Mondares, Joanne</dc:creator>
  <cp:lastModifiedBy>Manor, Kimberley</cp:lastModifiedBy>
  <cp:revision>3</cp:revision>
  <cp:lastPrinted>2024-03-12T18:57:00Z</cp:lastPrinted>
  <dcterms:created xsi:type="dcterms:W3CDTF">2024-03-12T18:59:00Z</dcterms:created>
  <dcterms:modified xsi:type="dcterms:W3CDTF">2024-05-21T15:38:00Z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